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53914" w14:textId="6CD83982" w:rsidR="001E0BE4" w:rsidRDefault="001E0BE4" w:rsidP="006D7319">
      <w:pPr>
        <w:rPr>
          <w:rFonts w:ascii="Times" w:eastAsia="Times New Roman" w:hAnsi="Times" w:cs="Times New Roman"/>
          <w:sz w:val="20"/>
          <w:szCs w:val="20"/>
        </w:rPr>
      </w:pPr>
      <w:r w:rsidRPr="001E0BE4">
        <w:rPr>
          <w:rFonts w:ascii="Times" w:eastAsia="Times New Roman" w:hAnsi="Times" w:cs="Times New Roman"/>
          <w:sz w:val="20"/>
          <w:szCs w:val="20"/>
        </w:rPr>
        <w:drawing>
          <wp:inline distT="0" distB="0" distL="0" distR="0" wp14:anchorId="3E2327D0" wp14:editId="1E0A5B12">
            <wp:extent cx="5486400" cy="3897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3897630"/>
                    </a:xfrm>
                    <a:prstGeom prst="rect">
                      <a:avLst/>
                    </a:prstGeom>
                  </pic:spPr>
                </pic:pic>
              </a:graphicData>
            </a:graphic>
          </wp:inline>
        </w:drawing>
      </w:r>
    </w:p>
    <w:p w14:paraId="347B6111" w14:textId="77777777" w:rsidR="001E0BE4" w:rsidRDefault="001E0BE4" w:rsidP="006D7319">
      <w:pPr>
        <w:rPr>
          <w:rFonts w:ascii="Times" w:eastAsia="Times New Roman" w:hAnsi="Times" w:cs="Times New Roman"/>
          <w:sz w:val="20"/>
          <w:szCs w:val="20"/>
        </w:rPr>
      </w:pPr>
    </w:p>
    <w:p w14:paraId="5F39D28B" w14:textId="24CBAB67" w:rsidR="006D7319" w:rsidRDefault="006D7319" w:rsidP="006D7319">
      <w:pPr>
        <w:rPr>
          <w:rFonts w:ascii="Times" w:eastAsia="Times New Roman" w:hAnsi="Times" w:cs="Times New Roman"/>
          <w:sz w:val="20"/>
          <w:szCs w:val="20"/>
        </w:rPr>
      </w:pPr>
      <w:r w:rsidRPr="006D7319">
        <w:rPr>
          <w:rFonts w:ascii="Times" w:eastAsia="Times New Roman" w:hAnsi="Times" w:cs="Times New Roman"/>
          <w:sz w:val="20"/>
          <w:szCs w:val="20"/>
        </w:rPr>
        <w:t xml:space="preserve">REVIEW OF TELEMENTAL HEALTH SERVICES WITH YOUTH </w:t>
      </w:r>
    </w:p>
    <w:p w14:paraId="08BA5EDA" w14:textId="77777777" w:rsidR="001E0BE4" w:rsidRDefault="001E0BE4" w:rsidP="006D7319">
      <w:pPr>
        <w:rPr>
          <w:rFonts w:ascii="Times" w:eastAsia="Times New Roman" w:hAnsi="Times" w:cs="Times New Roman"/>
          <w:sz w:val="20"/>
          <w:szCs w:val="20"/>
        </w:rPr>
      </w:pPr>
    </w:p>
    <w:p w14:paraId="484F14BC" w14:textId="77777777" w:rsidR="006D7319" w:rsidRDefault="006D7319" w:rsidP="006D7319">
      <w:pPr>
        <w:rPr>
          <w:rFonts w:ascii="Times" w:eastAsia="Times New Roman" w:hAnsi="Times" w:cs="Times New Roman"/>
          <w:sz w:val="20"/>
          <w:szCs w:val="20"/>
        </w:rPr>
      </w:pPr>
      <w:r w:rsidRPr="006D7319">
        <w:rPr>
          <w:rFonts w:ascii="Times" w:eastAsia="Times New Roman" w:hAnsi="Times" w:cs="Times New Roman"/>
          <w:sz w:val="20"/>
          <w:szCs w:val="20"/>
        </w:rPr>
        <w:t xml:space="preserve">The evidence base supporting the feasibility, acceptability and effectiveness of </w:t>
      </w:r>
      <w:proofErr w:type="spellStart"/>
      <w:r w:rsidRPr="006D7319">
        <w:rPr>
          <w:rFonts w:ascii="Times" w:eastAsia="Times New Roman" w:hAnsi="Times" w:cs="Times New Roman"/>
          <w:sz w:val="20"/>
          <w:szCs w:val="20"/>
        </w:rPr>
        <w:t>telemental</w:t>
      </w:r>
      <w:proofErr w:type="spellEnd"/>
      <w:r w:rsidRPr="006D7319">
        <w:rPr>
          <w:rFonts w:ascii="Times" w:eastAsia="Times New Roman" w:hAnsi="Times" w:cs="Times New Roman"/>
          <w:sz w:val="20"/>
          <w:szCs w:val="20"/>
        </w:rPr>
        <w:t xml:space="preserve"> health with children and adolescents is emerging incrementally.</w:t>
      </w:r>
    </w:p>
    <w:p w14:paraId="1CDB3BE7" w14:textId="77777777" w:rsidR="006D7319" w:rsidRDefault="006D7319" w:rsidP="006D7319">
      <w:pPr>
        <w:rPr>
          <w:rFonts w:ascii="Times" w:eastAsia="Times New Roman" w:hAnsi="Times" w:cs="Times New Roman"/>
          <w:sz w:val="20"/>
          <w:szCs w:val="20"/>
        </w:rPr>
      </w:pPr>
    </w:p>
    <w:p w14:paraId="2195CAF6" w14:textId="6826C1C7" w:rsidR="006D7319" w:rsidRDefault="006D7319" w:rsidP="001E0BE4">
      <w:pPr>
        <w:pStyle w:val="ListParagraph"/>
        <w:numPr>
          <w:ilvl w:val="0"/>
          <w:numId w:val="1"/>
        </w:numPr>
        <w:rPr>
          <w:rFonts w:ascii="Times" w:eastAsia="Times New Roman" w:hAnsi="Times" w:cs="Times New Roman"/>
          <w:sz w:val="20"/>
          <w:szCs w:val="20"/>
        </w:rPr>
      </w:pPr>
      <w:r w:rsidRPr="001E0BE4">
        <w:rPr>
          <w:rFonts w:ascii="Times" w:eastAsia="Times New Roman" w:hAnsi="Times" w:cs="Times New Roman"/>
          <w:sz w:val="20"/>
          <w:szCs w:val="20"/>
        </w:rPr>
        <w:t xml:space="preserve">Clinical Interventions and the Supporting Evidence-Base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 may be especially suited for youth who are accustomed to the technology, especially adolescents who may respond to the personal space and feeling of control allowed by videoconferencing. There is some preliminary evidence that videoconferencing offers advantages, including less self-consciousness, increased personal space, and decreased confidentiality concerns as the provider is outside of the local community.77 Due to the small but emerging child literature, lessons are often drawn as a downward extension from adult literature. A recent extensive review of the empirical literature for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heath across the lifespan following rigorous inclusion criteria concluded that there is strong and consistent evidence of the feasibility of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 as well as high acceptability across </w:t>
      </w:r>
      <w:proofErr w:type="spellStart"/>
      <w:r w:rsidRPr="001E0BE4">
        <w:rPr>
          <w:rFonts w:ascii="Times" w:eastAsia="Times New Roman" w:hAnsi="Times" w:cs="Times New Roman"/>
          <w:sz w:val="20"/>
          <w:szCs w:val="20"/>
        </w:rPr>
        <w:t>teleproviders</w:t>
      </w:r>
      <w:proofErr w:type="spellEnd"/>
      <w:r w:rsidRPr="001E0BE4">
        <w:rPr>
          <w:rFonts w:ascii="Times" w:eastAsia="Times New Roman" w:hAnsi="Times" w:cs="Times New Roman"/>
          <w:sz w:val="20"/>
          <w:szCs w:val="20"/>
        </w:rPr>
        <w:t xml:space="preserve"> and patients.78 There was indication of improvement in symptomology and quality of life among patients across a broad range of demographic and diagnostic groups. Multiple studies have demonstrated the feasibility of implementing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 services with young people across diverse settings. 14, 23, 79-86 Diagnostic assessments have been reliably conducted through videoconferencing for youth with various disorders evaluated in outpatient settings,31, 33, 87, 88 including: disruptive behavior disorders,12 autism and other developmental disorders,41, 89 and psychotic disorders.90 Multiple studies have demonstrated the acceptability to referring primary care providers (PCPs), parents, and youth of delivering child mental health services through videoconferencing.41, 79-80, 83-85, 88, 91-97 Satisfaction studies demonstrate the ability to develop a therapeutic alliance with youth and families through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health42 and suggest effectiveness. The delivery of pharmacotherapy through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 has been described with youth in schools,98 mental health centers and daycare,39 outpatient settings31, 83-85 and juvenile justice facilities.30, 99, 100 One recent large community-based randomized trial provides solid evidence of the effectiveness of </w:t>
      </w:r>
      <w:proofErr w:type="spellStart"/>
      <w:r w:rsidRPr="001E0BE4">
        <w:rPr>
          <w:rFonts w:ascii="Times" w:eastAsia="Times New Roman" w:hAnsi="Times" w:cs="Times New Roman"/>
          <w:sz w:val="20"/>
          <w:szCs w:val="20"/>
        </w:rPr>
        <w:t>shortterm</w:t>
      </w:r>
      <w:proofErr w:type="spellEnd"/>
      <w:r w:rsidRPr="001E0BE4">
        <w:rPr>
          <w:rFonts w:ascii="Times" w:eastAsia="Times New Roman" w:hAnsi="Times" w:cs="Times New Roman"/>
          <w:sz w:val="20"/>
          <w:szCs w:val="20"/>
        </w:rPr>
        <w:t xml:space="preserve"> pharmacotherapy for ADHD delivered by child and adolescent </w:t>
      </w:r>
      <w:proofErr w:type="spellStart"/>
      <w:r w:rsidRPr="001E0BE4">
        <w:rPr>
          <w:rFonts w:ascii="Times" w:eastAsia="Times New Roman" w:hAnsi="Times" w:cs="Times New Roman"/>
          <w:sz w:val="20"/>
          <w:szCs w:val="20"/>
        </w:rPr>
        <w:lastRenderedPageBreak/>
        <w:t>telepsychiatrists</w:t>
      </w:r>
      <w:proofErr w:type="spellEnd"/>
      <w:r w:rsidRPr="001E0BE4">
        <w:rPr>
          <w:rFonts w:ascii="Times" w:eastAsia="Times New Roman" w:hAnsi="Times" w:cs="Times New Roman"/>
          <w:sz w:val="20"/>
          <w:szCs w:val="20"/>
        </w:rPr>
        <w:t xml:space="preserve"> compared to treatment in primary care complemented by a single telepsychiatry consultation.12 </w:t>
      </w:r>
      <w:proofErr w:type="spellStart"/>
      <w:r w:rsidRPr="001E0BE4">
        <w:rPr>
          <w:rFonts w:ascii="Times" w:eastAsia="Times New Roman" w:hAnsi="Times" w:cs="Times New Roman"/>
          <w:sz w:val="20"/>
          <w:szCs w:val="20"/>
        </w:rPr>
        <w:t>Telepsychiatrists</w:t>
      </w:r>
      <w:proofErr w:type="spellEnd"/>
      <w:r w:rsidRPr="001E0BE4">
        <w:rPr>
          <w:rFonts w:ascii="Times" w:eastAsia="Times New Roman" w:hAnsi="Times" w:cs="Times New Roman"/>
          <w:sz w:val="20"/>
          <w:szCs w:val="20"/>
        </w:rPr>
        <w:t xml:space="preserve"> demonstrated good adherence to guideline-based pharmacotherapy and greater assertiveness in pharmacologic management than the PCPs.101 There is an emerging literature supporting the feasibility and effectiveness of psychotherapy with children and adolescents delivered through videoconferencing. The evidence-base is predominantly drawn from a downward extension from the adult literature.8, 9, 102, 103 Backhaus and colleagues8 completed a review of 65 studies across psychotherapy modalities delivered over videoconferencing. They concluded that videoconferencing-delivered psychotherapy is feasible, applicable to diverse populations, in a variety of therapeutic formats and is generally associated with high user satisfaction. Most importantly, clinical outcomes for psychotherapy delivered through videoconferencing appear comparable to care delivered in traditional psychotherapy. Gros and colleagues9 conducted a review of 26 studies from 2000 to 2012 based specifically on the delivery of cognitive-behavioral therapy (CBT)- related strategies over videoconferencing with varying technologies. They concluded that the majority © American Telemedicine Association | Page 7 of the studies supported the effectiveness of using videoconferencing to deliver psychotherapy. Most published studies of psychotherapy conducted specifically with young people have been descriptive, with only a handful of outcome studies.14, 23 Nelson and Patton27 identified ten psychotherapy studies with the general population of children and adolescents experiencing a mental health concern. Most of these studies were interventions for ADHD, but also included a variety of single study examples. Emerging case reports support the feasibility of teletherapy in high need areas with adolescents, including family-based interventions for eating disorders104 and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 on college campuses.34 Additional research with adolescents and substance abuse treatment has been encouraging.102 Intervention approaches varied in focus on the youth or the parent and ranged from feasibility trials to pre-post designs, and a handful of randomized controlled trials.11, 13, 15, 16 Consistent with the more robust adult individual therapy literature,8-10 findings were overall positive related to feasibility, satisfaction, and outcomes. This review also identified a dozen pediatric psychology studies, addressing mental health approaches with children and adolescents with acute and chronic conditions. In relation to pediatric psychology approaches using telemedicine with children with chronic medical conditions, most information is from case report and small pilots,27 reflecting successful implementation with a range of conditions (pediatric cancer, pediatric feeding conditions, diabetes, irritable bowel disorder, pediatric epilepsy, congenital heart defect, among others). There are also case reports reflecting pediatric psychology services over telemedicine for sleep disorders and toileting disorders. Several trials have found positive results treating pediatric obesity over videoconferencing, both to rural schools and to rural primary care practices.105-106 There is also very limited information about group therapy approaches using telemedicine with youth, with reports describing the approach successfully utilized with pediatric obesity107 and adolescents on home parenteral nutrition and their caregivers.108 Several randomized trials of psychotherapy are noteworthy. Nelson and colleagues found comparable reductions for childhood depressive symptoms treated with eight sessions of cognitive-behavioral therapy (CBT) delivered through videoconferencing versus in-person.13, 109 Two small randomized trials15, 110 tested the effectiveness of treatment for obsessive-compulsive disorder (OCD) and found that compared to youth treated in-person those treated through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 had comparable or superior outcomes. The behavioral treatment of tics through </w:t>
      </w:r>
      <w:proofErr w:type="spellStart"/>
      <w:r w:rsidRPr="001E0BE4">
        <w:rPr>
          <w:rFonts w:ascii="Times" w:eastAsia="Times New Roman" w:hAnsi="Times" w:cs="Times New Roman"/>
          <w:sz w:val="20"/>
          <w:szCs w:val="20"/>
        </w:rPr>
        <w:t>telemental</w:t>
      </w:r>
      <w:proofErr w:type="spellEnd"/>
      <w:r w:rsidRPr="001E0BE4">
        <w:rPr>
          <w:rFonts w:ascii="Times" w:eastAsia="Times New Roman" w:hAnsi="Times" w:cs="Times New Roman"/>
          <w:sz w:val="20"/>
          <w:szCs w:val="20"/>
        </w:rPr>
        <w:t xml:space="preserve"> health has also been found to be comparable to in-person treatment.11 Four small trials have demonstrated the effectiveness of providing family interventions and parent-management training through videoconferencing 16, 111, 112, 113.</w:t>
      </w:r>
    </w:p>
    <w:p w14:paraId="31E4DF3D" w14:textId="5A29BA34" w:rsidR="001E0BE4" w:rsidRDefault="001E0BE4" w:rsidP="001E0BE4">
      <w:pPr>
        <w:rPr>
          <w:rFonts w:ascii="Times" w:eastAsia="Times New Roman" w:hAnsi="Times" w:cs="Times New Roman"/>
          <w:sz w:val="20"/>
          <w:szCs w:val="20"/>
        </w:rPr>
      </w:pPr>
    </w:p>
    <w:p w14:paraId="0DD94F62" w14:textId="77777777" w:rsidR="001E0BE4" w:rsidRPr="001E0BE4" w:rsidRDefault="001E0BE4" w:rsidP="001E0BE4">
      <w:pPr>
        <w:rPr>
          <w:rFonts w:ascii="Times" w:eastAsia="Times New Roman" w:hAnsi="Times" w:cs="Times New Roman"/>
          <w:sz w:val="20"/>
          <w:szCs w:val="20"/>
        </w:rPr>
      </w:pPr>
    </w:p>
    <w:p w14:paraId="4B9FDD06" w14:textId="4D4C41F6" w:rsidR="001E0BE4" w:rsidRPr="001E0BE4" w:rsidRDefault="001E0BE4">
      <w:pPr>
        <w:rPr>
          <w:rFonts w:ascii="Times" w:eastAsia="Times New Roman" w:hAnsi="Times" w:cs="Times New Roman"/>
          <w:sz w:val="20"/>
          <w:szCs w:val="20"/>
        </w:rPr>
      </w:pPr>
      <w:r w:rsidRPr="001E0BE4">
        <w:rPr>
          <w:rFonts w:ascii="Times" w:eastAsia="Times New Roman" w:hAnsi="Times" w:cs="Times New Roman"/>
          <w:sz w:val="20"/>
          <w:szCs w:val="20"/>
        </w:rPr>
        <w:t xml:space="preserve">For more information, see </w:t>
      </w:r>
      <w:hyperlink r:id="rId6" w:history="1">
        <w:r w:rsidRPr="001E0BE4">
          <w:rPr>
            <w:rStyle w:val="Hyperlink"/>
            <w:rFonts w:ascii="Times" w:eastAsia="Times New Roman" w:hAnsi="Times" w:cs="Times New Roman"/>
            <w:sz w:val="20"/>
            <w:szCs w:val="20"/>
          </w:rPr>
          <w:t xml:space="preserve">American Telemedicine Association Practice Guidelines for </w:t>
        </w:r>
        <w:proofErr w:type="spellStart"/>
        <w:r w:rsidRPr="001E0BE4">
          <w:rPr>
            <w:rStyle w:val="Hyperlink"/>
            <w:rFonts w:ascii="Times" w:eastAsia="Times New Roman" w:hAnsi="Times" w:cs="Times New Roman"/>
            <w:sz w:val="20"/>
            <w:szCs w:val="20"/>
          </w:rPr>
          <w:t>Telemental</w:t>
        </w:r>
        <w:proofErr w:type="spellEnd"/>
        <w:r w:rsidRPr="001E0BE4">
          <w:rPr>
            <w:rStyle w:val="Hyperlink"/>
            <w:rFonts w:ascii="Times" w:eastAsia="Times New Roman" w:hAnsi="Times" w:cs="Times New Roman"/>
            <w:sz w:val="20"/>
            <w:szCs w:val="20"/>
          </w:rPr>
          <w:t xml:space="preserve"> Health with Children and Adolescents</w:t>
        </w:r>
      </w:hyperlink>
      <w:bookmarkStart w:id="0" w:name="_GoBack"/>
      <w:bookmarkEnd w:id="0"/>
      <w:r w:rsidRPr="001E0BE4">
        <w:rPr>
          <w:rFonts w:ascii="Times" w:eastAsia="Times New Roman" w:hAnsi="Times" w:cs="Times New Roman"/>
          <w:sz w:val="20"/>
          <w:szCs w:val="20"/>
        </w:rPr>
        <w:t>.</w:t>
      </w:r>
    </w:p>
    <w:sectPr w:rsidR="001E0BE4" w:rsidRPr="001E0BE4" w:rsidSect="00D603F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0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8A338B"/>
    <w:multiLevelType w:val="hybridMultilevel"/>
    <w:tmpl w:val="472E30E4"/>
    <w:lvl w:ilvl="0" w:tplc="736C538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19"/>
    <w:rsid w:val="001E0BE4"/>
    <w:rsid w:val="006D7319"/>
    <w:rsid w:val="00A46EF1"/>
    <w:rsid w:val="00D60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B0122A"/>
  <w14:defaultImageDpi w14:val="300"/>
  <w15:docId w15:val="{466CEA0E-B564-CB48-9976-DE1FD1B22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BE4"/>
    <w:rPr>
      <w:color w:val="0000FF" w:themeColor="hyperlink"/>
      <w:u w:val="single"/>
    </w:rPr>
  </w:style>
  <w:style w:type="character" w:styleId="UnresolvedMention">
    <w:name w:val="Unresolved Mention"/>
    <w:basedOn w:val="DefaultParagraphFont"/>
    <w:uiPriority w:val="99"/>
    <w:semiHidden/>
    <w:unhideWhenUsed/>
    <w:rsid w:val="001E0BE4"/>
    <w:rPr>
      <w:color w:val="605E5C"/>
      <w:shd w:val="clear" w:color="auto" w:fill="E1DFDD"/>
    </w:rPr>
  </w:style>
  <w:style w:type="paragraph" w:styleId="ListParagraph">
    <w:name w:val="List Paragraph"/>
    <w:basedOn w:val="Normal"/>
    <w:uiPriority w:val="34"/>
    <w:qFormat/>
    <w:rsid w:val="001E0BE4"/>
    <w:pPr>
      <w:ind w:left="720"/>
      <w:contextualSpacing/>
    </w:pPr>
  </w:style>
  <w:style w:type="paragraph" w:styleId="BalloonText">
    <w:name w:val="Balloon Text"/>
    <w:basedOn w:val="Normal"/>
    <w:link w:val="BalloonTextChar"/>
    <w:uiPriority w:val="99"/>
    <w:semiHidden/>
    <w:unhideWhenUsed/>
    <w:rsid w:val="001E0B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0BE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6620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igherlogicdownload.s3.amazonaws.com/AMERICANTELEMED/618da447-dee1-4ee1-b941-c5bf3db5669a/UploadedImages/Practice%20Guideline%20Covers/NEW_ATA%20Children%20&amp;%20Adolescents%20Guidelines.pdf"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1064</Words>
  <Characters>6065</Characters>
  <Application>Microsoft Office Word</Application>
  <DocSecurity>0</DocSecurity>
  <Lines>50</Lines>
  <Paragraphs>14</Paragraphs>
  <ScaleCrop>false</ScaleCrop>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Tracy</dc:creator>
  <cp:keywords/>
  <dc:description/>
  <cp:lastModifiedBy>Jen Franklin</cp:lastModifiedBy>
  <cp:revision>2</cp:revision>
  <cp:lastPrinted>2019-01-31T17:06:00Z</cp:lastPrinted>
  <dcterms:created xsi:type="dcterms:W3CDTF">2019-01-31T17:09:00Z</dcterms:created>
  <dcterms:modified xsi:type="dcterms:W3CDTF">2019-01-31T17:09:00Z</dcterms:modified>
</cp:coreProperties>
</file>